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0E9ADEBC" w:rsidR="00D6147A" w:rsidRDefault="00871A2C" w:rsidP="00871A2C">
      <w:hyperlink r:id="rId6" w:history="1">
        <w:r w:rsidRPr="00746C99">
          <w:rPr>
            <w:rStyle w:val="Collegamentoipertestuale"/>
          </w:rPr>
          <w:t>https://finanza.lastampa.it/News/2025/02/15/panetta-bankitalia-rientro-inflazione-al-target-quasi-completo-normalizzazione-va-continuata/OV8yMDI1LTAyLTE1X1RMQg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F1F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87E50"/>
    <w:rsid w:val="00690FF7"/>
    <w:rsid w:val="006934C3"/>
    <w:rsid w:val="00693E77"/>
    <w:rsid w:val="0069648C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53C9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lastampa.it/News/2025/02/15/panetta-bankitalia-rientro-inflazione-al-target-quasi-completo-normalizzazione-va-continuata/OV8yMDI1LTAyLTE1X1RMQ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2025-02-18T15:11:00Z</dcterms:created>
  <dcterms:modified xsi:type="dcterms:W3CDTF">2025-02-18T15:11:00Z</dcterms:modified>
</cp:coreProperties>
</file>